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85" w:rsidRPr="009F2285" w:rsidRDefault="004D4716" w:rsidP="00A2478D">
      <w:pPr>
        <w:jc w:val="center"/>
        <w:rPr>
          <w:b/>
          <w:u w:val="single"/>
          <w:lang w:val="ru-RU"/>
        </w:rPr>
      </w:pPr>
      <w:r w:rsidRPr="004D4716">
        <w:rPr>
          <w:b/>
        </w:rPr>
        <w:t xml:space="preserve">Методичні рекомендації щодо викладання </w:t>
      </w:r>
      <w:r w:rsidRPr="009F2285">
        <w:rPr>
          <w:b/>
          <w:u w:val="single"/>
        </w:rPr>
        <w:t xml:space="preserve">правознавства </w:t>
      </w:r>
      <w:bookmarkStart w:id="0" w:name="_GoBack"/>
      <w:bookmarkEnd w:id="0"/>
    </w:p>
    <w:p w:rsidR="004D4716" w:rsidRDefault="004D4716" w:rsidP="00A2478D">
      <w:pPr>
        <w:jc w:val="center"/>
        <w:rPr>
          <w:b/>
        </w:rPr>
      </w:pPr>
      <w:r w:rsidRPr="004D4716">
        <w:rPr>
          <w:b/>
        </w:rPr>
        <w:t>у 2016-2017 навчальному році</w:t>
      </w:r>
    </w:p>
    <w:p w:rsidR="004D4716" w:rsidRPr="004D4716" w:rsidRDefault="004D4716" w:rsidP="004D4716">
      <w:pPr>
        <w:jc w:val="right"/>
      </w:pPr>
      <w:r w:rsidRPr="004D4716">
        <w:t>Додаток до листа Міністерства</w:t>
      </w:r>
    </w:p>
    <w:p w:rsidR="004D4716" w:rsidRPr="004D4716" w:rsidRDefault="004D4716" w:rsidP="004D4716">
      <w:pPr>
        <w:jc w:val="right"/>
      </w:pPr>
      <w:r w:rsidRPr="004D4716">
        <w:t>освіти і науки України</w:t>
      </w:r>
    </w:p>
    <w:p w:rsidR="004D4716" w:rsidRPr="004D4716" w:rsidRDefault="004D4716" w:rsidP="004D4716">
      <w:pPr>
        <w:jc w:val="right"/>
      </w:pPr>
      <w:r w:rsidRPr="004D4716">
        <w:t>від 17.08.2016р. № 1/9-437</w:t>
      </w:r>
    </w:p>
    <w:p w:rsidR="004D4716" w:rsidRPr="004D4716" w:rsidRDefault="004D4716" w:rsidP="004D4716">
      <w:r w:rsidRPr="004D4716">
        <w:t xml:space="preserve">Сучасні освітні тенденції передбачають зміщення акцентів у правовому навчанні школярів із накопичення знань до формування здатності учнів самостійно здобувати, аналізувати, тлумачити, переосмислювати, інтерпретувати, оцінювати й застосовувати на практиці різноманітну правову інформацію. Згідно вимог Державного стандарту базової і повної середньої освіти навчання учнів правознавства має спрямовуватися на формування в них системи ключових і предметних </w:t>
      </w:r>
      <w:proofErr w:type="spellStart"/>
      <w:r w:rsidRPr="004D4716">
        <w:t>компетентностей</w:t>
      </w:r>
      <w:proofErr w:type="spellEnd"/>
      <w:r w:rsidRPr="004D4716">
        <w:t xml:space="preserve">. Правова предметна компетентність виступає інтегрованою здатністю учня реалізовувати на практиці правові знання, </w:t>
      </w:r>
      <w:proofErr w:type="spellStart"/>
      <w:r w:rsidRPr="004D4716">
        <w:t>загальнонавчальні</w:t>
      </w:r>
      <w:proofErr w:type="spellEnd"/>
      <w:r w:rsidRPr="004D4716">
        <w:t xml:space="preserve"> та предметні вміння й навички, способи діяльності, цінності й ставлення в поведінкових моделях у правовому контексті.</w:t>
      </w:r>
    </w:p>
    <w:p w:rsidR="004D4716" w:rsidRPr="004D4716" w:rsidRDefault="004D4716" w:rsidP="004D4716">
      <w:r w:rsidRPr="004D4716">
        <w:t xml:space="preserve">При викладанні правознавства вчителю слід тримати в полі зору притаманні українському суспільству сучасні напрацювання в правовій науці, динаміку суспільних відносин, певний консерватизм національного законодавства, результати активної нормотворчої діяльності органів державної влади. </w:t>
      </w:r>
    </w:p>
    <w:p w:rsidR="004D4716" w:rsidRPr="004D4716" w:rsidRDefault="004D4716" w:rsidP="004D4716">
      <w:r w:rsidRPr="004D4716">
        <w:t>У викладанні предметів «Правознавство. Практичний курс» у 9-му класі, «Правознавство» в 10-му класі (рівень стандарту) та в 10-11 класах (профільний рівень) необхідно враховувати зміни в законодавстві України, що відбулися протягом поточного навчального року: «</w:t>
      </w:r>
      <w:r w:rsidRPr="004D4716">
        <w:rPr>
          <w:bCs/>
        </w:rPr>
        <w:t>Про внесення зміни до статті 15 Закону України «Про військовий обов’язок і військову службу» щодо призову громадян України на строкову військову службу (</w:t>
      </w:r>
      <w:r w:rsidRPr="004D4716">
        <w:t>від 18.02.2016 р. № </w:t>
      </w:r>
      <w:r w:rsidRPr="004D4716">
        <w:rPr>
          <w:bCs/>
        </w:rPr>
        <w:t>1008-VIII), «</w:t>
      </w:r>
      <w:hyperlink r:id="rId5" w:tgtFrame="_blank" w:history="1">
        <w:r w:rsidRPr="004D4716">
          <w:rPr>
            <w:rStyle w:val="a3"/>
          </w:rPr>
          <w:t>Про внесення змін до Цивільного процесуального кодексу України щодо встановлення факту народження або смерті особи на тимчасово окупованій території України</w:t>
        </w:r>
      </w:hyperlink>
      <w:r w:rsidRPr="004D4716">
        <w:t>» (від 04.02.2016 р. № </w:t>
      </w:r>
      <w:r w:rsidRPr="004D4716">
        <w:rPr>
          <w:bCs/>
        </w:rPr>
        <w:t>990-VIII</w:t>
      </w:r>
      <w:r w:rsidRPr="004D4716">
        <w:t>), «</w:t>
      </w:r>
      <w:hyperlink r:id="rId6" w:tgtFrame="_blank" w:history="1">
        <w:r w:rsidRPr="004D4716">
          <w:rPr>
            <w:rStyle w:val="a3"/>
          </w:rPr>
          <w:t>Про внесення змін до деяких законів України щодо посилення гарантій дотримання прав і свобод внутрішньо переміщених осіб</w:t>
        </w:r>
      </w:hyperlink>
      <w:r w:rsidRPr="004D4716">
        <w:t>» (від 24.12.2015 р. № </w:t>
      </w:r>
      <w:r w:rsidRPr="004D4716">
        <w:rPr>
          <w:bCs/>
        </w:rPr>
        <w:t>921-VIII</w:t>
      </w:r>
      <w:r w:rsidRPr="004D4716">
        <w:t>), «Про державну службу» (від 10.12.2015 р., набуття чинності 01.05.2016 р., № 889-VIII), «</w:t>
      </w:r>
      <w:hyperlink r:id="rId7" w:tgtFrame="_blank" w:history="1">
        <w:r w:rsidRPr="004D4716">
          <w:rPr>
            <w:rStyle w:val="a3"/>
          </w:rPr>
  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  </w:r>
      </w:hyperlink>
      <w:r w:rsidRPr="004D4716">
        <w:t>» (від 10.12.2015 р. № </w:t>
      </w:r>
      <w:r w:rsidRPr="004D4716">
        <w:rPr>
          <w:bCs/>
        </w:rPr>
        <w:t>888-VIII</w:t>
      </w:r>
      <w:r w:rsidRPr="004D4716">
        <w:t>), «</w:t>
      </w:r>
      <w:r w:rsidRPr="004D4716">
        <w:rPr>
          <w:bCs/>
        </w:rPr>
        <w:t xml:space="preserve">Про державну реєстрацію юридичних осіб, фізичних осіб - підприємців та громадських формувань (нова редакція, </w:t>
      </w:r>
      <w:r w:rsidRPr="004D4716">
        <w:t>від 26.11.2015 р. № </w:t>
      </w:r>
      <w:r w:rsidRPr="004D4716">
        <w:rPr>
          <w:bCs/>
        </w:rPr>
        <w:t>835-VIII), «</w:t>
      </w:r>
      <w:hyperlink r:id="rId8" w:tgtFrame="_blank" w:history="1">
        <w:r w:rsidRPr="004D4716">
          <w:rPr>
            <w:rStyle w:val="a3"/>
          </w:rPr>
          <w:t>Про Державне бюро розслідувань</w:t>
        </w:r>
      </w:hyperlink>
      <w:r w:rsidRPr="004D4716">
        <w:t>» (від 12.11.2015 р. № </w:t>
      </w:r>
      <w:r w:rsidRPr="004D4716">
        <w:rPr>
          <w:bCs/>
        </w:rPr>
        <w:t>794-VIII</w:t>
      </w:r>
      <w:r w:rsidRPr="004D4716">
        <w:t>), «</w:t>
      </w:r>
      <w:hyperlink r:id="rId9" w:tgtFrame="_blank" w:history="1">
        <w:r w:rsidRPr="004D4716">
          <w:rPr>
            <w:rStyle w:val="a3"/>
          </w:rPr>
          <w:t>Про зовнішню трудову міграцію</w:t>
        </w:r>
      </w:hyperlink>
      <w:r w:rsidRPr="004D4716">
        <w:t>» (від 05.11.2015 р. № </w:t>
      </w:r>
      <w:r w:rsidRPr="004D4716">
        <w:rPr>
          <w:bCs/>
        </w:rPr>
        <w:t>761-VIII</w:t>
      </w:r>
      <w:r w:rsidRPr="004D4716">
        <w:t>), «</w:t>
      </w:r>
      <w:hyperlink r:id="rId10" w:tgtFrame="_blank" w:history="1">
        <w:r w:rsidRPr="004D4716">
          <w:rPr>
            <w:rStyle w:val="a3"/>
          </w:rPr>
          <w:t>Про електронну комерцію</w:t>
        </w:r>
      </w:hyperlink>
      <w:r w:rsidRPr="004D4716">
        <w:t>» (від 03.09.2015 р. № </w:t>
      </w:r>
      <w:r w:rsidRPr="004D4716">
        <w:rPr>
          <w:bCs/>
        </w:rPr>
        <w:t>675-VIII</w:t>
      </w:r>
      <w:r w:rsidRPr="004D4716">
        <w:t>).</w:t>
      </w:r>
    </w:p>
    <w:p w:rsidR="004D4716" w:rsidRPr="004D4716" w:rsidRDefault="004D4716" w:rsidP="004D4716">
      <w:r w:rsidRPr="004D4716">
        <w:lastRenderedPageBreak/>
        <w:t xml:space="preserve">Крім цього, слід взяти до уваги перспективні зміни до Конституції та законів України, що перебувають на розгляді у Верховній Раді України: змін до Конституції України щодо децентралізації влади та правосуддя, проектів Трудового кодексу України, законів України «Про освіту», «Про професійну освіту», «Про службу в органах місцевого самоврядування». </w:t>
      </w:r>
    </w:p>
    <w:p w:rsidR="004D4716" w:rsidRPr="004D4716" w:rsidRDefault="004D4716" w:rsidP="004D4716">
      <w:r w:rsidRPr="004D4716">
        <w:t xml:space="preserve">Навчально-методичне забезпечення навчання учнів правознавства, рекомендоване Міністерством освіти і науки України, суттєвих змін не зазнало. Чинними залишаються такі програми: для 9-го класу – «Правознавство. Практичний курс» (35 год.) зі змінами, внесеними у 2015 році, для 10-го класу – «Правознавство» (рівень стандарту) ( 35 год.); для 10-11-х профільних класів – «Правознавство»  (профільний рівень) (105 год.) зі змінами, внесеними в 2016 році. Програми названих предметів інваріантної частини навчальних планів розміщені на офіційному сайті Міністерства освіти і науки України </w:t>
      </w:r>
      <w:hyperlink r:id="rId11" w:history="1">
        <w:r w:rsidRPr="004D4716">
          <w:rPr>
            <w:rStyle w:val="a3"/>
          </w:rPr>
          <w:t>www.mon.gov.ua</w:t>
        </w:r>
      </w:hyperlink>
      <w:r w:rsidRPr="004D4716">
        <w:rPr>
          <w:u w:val="single"/>
        </w:rPr>
        <w:t xml:space="preserve">, </w:t>
      </w:r>
      <w:r w:rsidRPr="004D4716">
        <w:t>видані окремими брошурами та опубліковані у фахових виданнях.</w:t>
      </w:r>
    </w:p>
    <w:p w:rsidR="004D4716" w:rsidRPr="004D4716" w:rsidRDefault="004D4716" w:rsidP="004D4716">
      <w:r w:rsidRPr="004D4716">
        <w:t xml:space="preserve">Навчання дев'ятикласників предмета «Правознавство. Практичний курс» має на меті формування їхніх особистісно значущих умінь і навичок, серед яких такі як: користуватися джерелами права; володіти елементарною правовою термінологією; </w:t>
      </w:r>
      <w:proofErr w:type="spellStart"/>
      <w:r w:rsidRPr="004D4716">
        <w:t>зв'язно</w:t>
      </w:r>
      <w:proofErr w:type="spellEnd"/>
      <w:r w:rsidRPr="004D4716">
        <w:t xml:space="preserve"> та </w:t>
      </w:r>
      <w:proofErr w:type="spellStart"/>
      <w:r w:rsidRPr="004D4716">
        <w:t>логічно</w:t>
      </w:r>
      <w:proofErr w:type="spellEnd"/>
      <w:r w:rsidRPr="004D4716">
        <w:t xml:space="preserve"> викладати матеріал із морально-правових проблем; критично мислити на правовому матеріалі, аналізувати, синтезувати правову інформацію. </w:t>
      </w:r>
    </w:p>
    <w:p w:rsidR="004D4716" w:rsidRPr="004D4716" w:rsidRDefault="004D4716" w:rsidP="004D4716">
      <w:r w:rsidRPr="004D4716">
        <w:t>Особливу увагу в навчанні учнів практичного курсу правознавства слід приділити формуванню фундаментальних цінностей, що слугують основою демократичної держави та громадянського суспільства (права і свободи людини, гідність людини, верховенство права, справедливість, народовладдя).</w:t>
      </w:r>
    </w:p>
    <w:p w:rsidR="004D4716" w:rsidRPr="004D4716" w:rsidRDefault="004D4716" w:rsidP="004D4716">
      <w:r w:rsidRPr="004D4716">
        <w:t xml:space="preserve">При організації навчання учнів 9-го класу правознавства в центрі уваги вчителя мають перебувати практичний і творчий складники їхньої навчальної діяльності. Для реалізації практико-орієнтувального спрямування практичного курсу правознавства вчителю слід широко застосовувати в навчанні дев'ятикласників пізнавальні завдання, що формують і розвивають їхні вміння й навички застосовувати здобуті теоретичні знання на практиці. Це аналіз і розв'язання правових ситуацій, складання юридичних документів за зразком, аналіз фрагментів нормативно-правових актів, складання схем, логічних ланцюжків тощо. Навчання практичного курсу правознавства має спрямовуватись також на задоволення потреб учня, його особистісний розвиток. Тому в арсеналі вчителя правознавства мають бути й такі види навчальної діяльності учнів як виконання проектів (індивідуальних чи групових), підготовка міні доповідей, презентацій з актуальних правових тем, написання творів-роздумів тощо.  </w:t>
      </w:r>
    </w:p>
    <w:p w:rsidR="004D4716" w:rsidRPr="004D4716" w:rsidRDefault="004D4716" w:rsidP="004D4716">
      <w:r w:rsidRPr="004D4716">
        <w:rPr>
          <w:bCs/>
        </w:rPr>
        <w:t xml:space="preserve">Варіативні курси правознавчого й </w:t>
      </w:r>
      <w:proofErr w:type="spellStart"/>
      <w:r w:rsidRPr="004D4716">
        <w:rPr>
          <w:bCs/>
        </w:rPr>
        <w:t>громадянознавчого</w:t>
      </w:r>
      <w:proofErr w:type="spellEnd"/>
      <w:r w:rsidRPr="004D4716">
        <w:rPr>
          <w:bCs/>
        </w:rPr>
        <w:t xml:space="preserve"> змісту в основній школі виконують роль пропедевтичних курсів та курсів </w:t>
      </w:r>
      <w:proofErr w:type="spellStart"/>
      <w:r w:rsidRPr="004D4716">
        <w:rPr>
          <w:bCs/>
        </w:rPr>
        <w:t>допрофільної</w:t>
      </w:r>
      <w:proofErr w:type="spellEnd"/>
      <w:r w:rsidRPr="004D4716">
        <w:rPr>
          <w:bCs/>
        </w:rPr>
        <w:t xml:space="preserve"> підготовки </w:t>
      </w:r>
      <w:r w:rsidRPr="004D4716">
        <w:rPr>
          <w:bCs/>
        </w:rPr>
        <w:lastRenderedPageBreak/>
        <w:t>учнів. Це курси: «Живи за правилами» (7</w:t>
      </w:r>
      <w:r w:rsidRPr="004D4716">
        <w:rPr>
          <w:bCs/>
          <w:iCs/>
        </w:rPr>
        <w:t>–</w:t>
      </w:r>
      <w:r w:rsidRPr="004D4716">
        <w:rPr>
          <w:bCs/>
        </w:rPr>
        <w:t xml:space="preserve">8 </w:t>
      </w:r>
      <w:proofErr w:type="spellStart"/>
      <w:r w:rsidRPr="004D4716">
        <w:rPr>
          <w:bCs/>
        </w:rPr>
        <w:t>кл</w:t>
      </w:r>
      <w:proofErr w:type="spellEnd"/>
      <w:r w:rsidRPr="004D4716">
        <w:rPr>
          <w:bCs/>
        </w:rPr>
        <w:t>.); «Вчимося бути громадянами» (8 клас); «Ми – громадяни України» (9 клас).</w:t>
      </w:r>
    </w:p>
    <w:p w:rsidR="004D4716" w:rsidRPr="004D4716" w:rsidRDefault="004D4716" w:rsidP="004D4716">
      <w:r w:rsidRPr="004D4716">
        <w:t xml:space="preserve">«Правознавство» як навчальний предмет у старшій школі має на меті формування системного уявлення в учнів про державу та право як основні засоби впорядкування суспільних відносин, вміння використовувати їх у практичному житті. </w:t>
      </w:r>
    </w:p>
    <w:p w:rsidR="004D4716" w:rsidRPr="004D4716" w:rsidRDefault="004D4716" w:rsidP="004D4716">
      <w:proofErr w:type="spellStart"/>
      <w:r w:rsidRPr="004D4716">
        <w:t>Цьогоріч</w:t>
      </w:r>
      <w:proofErr w:type="spellEnd"/>
      <w:r w:rsidRPr="004D4716">
        <w:t xml:space="preserve"> у навчальні програми предмета «Правознавство» як рівня стандарту, так і профільного рівня </w:t>
      </w:r>
      <w:proofErr w:type="spellStart"/>
      <w:r w:rsidRPr="004D4716">
        <w:t>внесено</w:t>
      </w:r>
      <w:proofErr w:type="spellEnd"/>
      <w:r w:rsidRPr="004D4716">
        <w:t xml:space="preserve"> зміни. </w:t>
      </w:r>
    </w:p>
    <w:p w:rsidR="004D4716" w:rsidRPr="004D4716" w:rsidRDefault="004D4716" w:rsidP="004D4716">
      <w:r w:rsidRPr="004D4716">
        <w:t>Програми посилено освітнім компонентом навчання прав людини відповідно до рекомендацій ОБСЄ щодо впровадження підходу, заснованого на правах людини, до загальної середньої освіти в Україні (</w:t>
      </w:r>
      <w:proofErr w:type="spellStart"/>
      <w:r w:rsidRPr="004D4716">
        <w:t>соціогуманітарний</w:t>
      </w:r>
      <w:proofErr w:type="spellEnd"/>
      <w:r w:rsidRPr="004D4716">
        <w:t xml:space="preserve"> цикл). Так, у навчальній програмі рівня стандарту у відповідних темах виокремлено питання зі сфери навчання прав людини, а саме: в темі «Особа, суспільство держава» це питання «Покоління прав людини»; у темі «Права, свободи та обов'язки людини і громадянина» це питання «Міжнародні стандарти у галузі прав людини: поняття, акти, що їх закріплюють», а також уведено практичне заняття «Європейський суд з прав людини».</w:t>
      </w:r>
    </w:p>
    <w:p w:rsidR="004D4716" w:rsidRPr="004D4716" w:rsidRDefault="004D4716" w:rsidP="004D4716">
      <w:r w:rsidRPr="004D4716">
        <w:t xml:space="preserve">Акцент зроблено на </w:t>
      </w:r>
      <w:proofErr w:type="spellStart"/>
      <w:r w:rsidRPr="004D4716">
        <w:t>людиноцетричному</w:t>
      </w:r>
      <w:proofErr w:type="spellEnd"/>
      <w:r w:rsidRPr="004D4716">
        <w:t xml:space="preserve"> підході до шкільного правознавства як за рахунок тем із галузі прав людини, так і через уведення відповідних питань, наприклад, «Основоположні та загальні принципи права» (в темі 1 частини 2), «Публічне адміністрування» (в темі 4 частини 3).</w:t>
      </w:r>
    </w:p>
    <w:p w:rsidR="004D4716" w:rsidRPr="004D4716" w:rsidRDefault="004D4716" w:rsidP="004D4716">
      <w:r w:rsidRPr="004D4716">
        <w:t xml:space="preserve">В навчальній програмі «Правознавство» (рівень стандарту) зменшено обсяг матеріалу в розділах із теорії держави і права з відповідним відображенням цих змін у державних вимогах до рівня загальноосвітньої підготовки учнів, </w:t>
      </w:r>
      <w:proofErr w:type="spellStart"/>
      <w:r w:rsidRPr="004D4716">
        <w:t>переструктуровано</w:t>
      </w:r>
      <w:proofErr w:type="spellEnd"/>
      <w:r w:rsidRPr="004D4716">
        <w:t xml:space="preserve"> зміст окремих тем й уточнено їх назви (наприклад, тема «Загальна характеристика житлового та земельного права»). </w:t>
      </w:r>
    </w:p>
    <w:p w:rsidR="004D4716" w:rsidRPr="004D4716" w:rsidRDefault="004D4716" w:rsidP="004D4716">
      <w:r w:rsidRPr="004D4716">
        <w:t xml:space="preserve">Посилено </w:t>
      </w:r>
      <w:proofErr w:type="spellStart"/>
      <w:r w:rsidRPr="004D4716">
        <w:t>міжкурсові</w:t>
      </w:r>
      <w:proofErr w:type="spellEnd"/>
      <w:r w:rsidRPr="004D4716">
        <w:t xml:space="preserve"> зв'язки між предметами «Правознавство. Практичний курс» (9-й клас) та «Правознавство» (рівень стандарту, 10-й клас) за рахунок вилучення з програми 10-го класу й винесення на повторення (етап актуалізації знань учнів на уроці) правових понять, що вивчалися учнями в 9-му класі, наприклад, у темах щодо права, правовідносин, правопорушення, юридичної відповідальності, окремих галузей права (цивільного, сімейного, трудового, кримінального) тощо.</w:t>
      </w:r>
    </w:p>
    <w:p w:rsidR="004D4716" w:rsidRPr="004D4716" w:rsidRDefault="004D4716" w:rsidP="004D4716">
      <w:r w:rsidRPr="004D4716">
        <w:t xml:space="preserve">Посилено практичне спрямування «Правознавства» як рівня стандарту, так і профільного рівня через зменшення питань теоретичного змісту й уведення практичних занять (уроків-юридичних практикумів та занять із визначеною темою). Такі заняття уявляються </w:t>
      </w:r>
      <w:proofErr w:type="spellStart"/>
      <w:r w:rsidRPr="004D4716">
        <w:t>уроками</w:t>
      </w:r>
      <w:proofErr w:type="spellEnd"/>
      <w:r w:rsidRPr="004D4716">
        <w:t xml:space="preserve"> застосування правових знань, предметних умінь і навичок, де учні індивідуально й </w:t>
      </w:r>
      <w:proofErr w:type="spellStart"/>
      <w:r w:rsidRPr="004D4716">
        <w:t>взаємодіючи</w:t>
      </w:r>
      <w:proofErr w:type="spellEnd"/>
      <w:r w:rsidRPr="004D4716">
        <w:t xml:space="preserve"> між собою (у малих групах) під керуванням учителя розв'язують юридичні задачі, відтворюють юридичні процедури, опрацьовують джерела права, ґрунтовно </w:t>
      </w:r>
      <w:r w:rsidRPr="004D4716">
        <w:lastRenderedPageBreak/>
        <w:t>характеризують правові явища й процеси тощо. Практичні заняття можуть використовуватися вчителем і для тематичного оцінювання учнів.</w:t>
      </w:r>
    </w:p>
    <w:p w:rsidR="004D4716" w:rsidRPr="004D4716" w:rsidRDefault="004D4716" w:rsidP="004D4716">
      <w:r w:rsidRPr="004D4716">
        <w:t xml:space="preserve">Для 10-го класу рівня стандарту таких занять заплановано сім, три з яких є юридичними практикумами й передбачають аналіз правових ситуацій та розв'язання юридичних задач із тих чи інших галузей права, а чотири є  тематичними – «Характеристика державного ладу», «Європейський суд з прав людини», «Вибори до органів місцевого самоврядування», «Особливості права власності неповнолітніх». </w:t>
      </w:r>
    </w:p>
    <w:p w:rsidR="004D4716" w:rsidRPr="004D4716" w:rsidRDefault="004D4716" w:rsidP="004D4716">
      <w:r w:rsidRPr="004D4716">
        <w:t xml:space="preserve">Кількісне співвідношення типів уроків у предметі «Правознавство» (рівень стандарту) є таким: на уроки вивчення нового матеріалу відведено 70 % урочного часу (24,5 год.), на вступну частину та уроки узагальнення й повторення – 10 % ( 3,5 год.) та на практичні заняття – 20 % (7 год.).         </w:t>
      </w:r>
    </w:p>
    <w:p w:rsidR="004D4716" w:rsidRPr="004D4716" w:rsidRDefault="004D4716" w:rsidP="004D4716">
      <w:r w:rsidRPr="004D4716">
        <w:t xml:space="preserve">Щодо навчальної програми предмета «Правознавство» профільного рівня, то вона суттєво розвантажена за рахунок вилучення надмірно деталізованих питань практично в усіх розділах і темах програми та редагування вимог до рівня загальноосвітньої підготовки учнів. У багатьох темах зменшено обсяг змісту, особливо щодо опису й характеристики тих чи інших правових явищ, моделювання учнями правових процесів/процедур тощо.  </w:t>
      </w:r>
    </w:p>
    <w:p w:rsidR="004D4716" w:rsidRPr="004D4716" w:rsidRDefault="004D4716" w:rsidP="004D4716">
      <w:r w:rsidRPr="004D4716">
        <w:t xml:space="preserve">У навчанні учнів профільних класів правознавства особливу увагу слід приділити практичним заняттям, що пропонуються новою редакцією програми. Їх заплановано 22 – по 11 в 10-му та 11-му класах. Практичні заняття надають учням можливість застосувати правові знання до конкретних ситуацій, удосконалити вміння працювати з нормативно-правовими актами, розвинути комунікативні навички, здійснити професійний вибір тощо. Вчителю правознавства слід ретельно готувати й уроки повторення та узагальнення, пропонуючи учням різноманітні завдання репродуктивного, пізнавального й творчого типу. Таких уроків у програмі 14 – по 7 на кожний рік навчання. Програмою передбачено також резервний час – 3 години в 10-му й 2 години в 11-му класі. Цей час може бути використаний для зустрічей учнів із представниками юридичних професій, державними службовцями, депутатами місцевих рад, для ділових ігор, турнірних боїв чи підбиття підсумків учнівських проектів. </w:t>
      </w:r>
    </w:p>
    <w:p w:rsidR="004D4716" w:rsidRPr="004D4716" w:rsidRDefault="004D4716" w:rsidP="004D4716">
      <w:r w:rsidRPr="004D4716">
        <w:t xml:space="preserve">Навчання старшокласників правознавства на профільному рівні забезпечується й варіативними курсами. Суспільна перебудова, політична й соціальна напруга, притаманні сучасному українському суспільству, актуалізують необхідність викладання в старшій школі курсів за вибором учнів </w:t>
      </w:r>
      <w:proofErr w:type="spellStart"/>
      <w:r w:rsidRPr="004D4716">
        <w:t>громадянознавчого</w:t>
      </w:r>
      <w:proofErr w:type="spellEnd"/>
      <w:r w:rsidRPr="004D4716">
        <w:t xml:space="preserve"> («Основи культури гендерної рівності: ми різні – ми рівні (9–10, 11кл.); «Права людини» (10–11 </w:t>
      </w:r>
      <w:proofErr w:type="spellStart"/>
      <w:r w:rsidRPr="004D4716">
        <w:t>кл</w:t>
      </w:r>
      <w:proofErr w:type="spellEnd"/>
      <w:r w:rsidRPr="004D4716">
        <w:t xml:space="preserve">.); «Права людини в Україні» (10–11 </w:t>
      </w:r>
      <w:proofErr w:type="spellStart"/>
      <w:r w:rsidRPr="004D4716">
        <w:t>кл</w:t>
      </w:r>
      <w:proofErr w:type="spellEnd"/>
      <w:r w:rsidRPr="004D4716">
        <w:t xml:space="preserve">.); «Основи демократії (громадянська освіта)» (10–11 </w:t>
      </w:r>
      <w:proofErr w:type="spellStart"/>
      <w:r w:rsidRPr="004D4716">
        <w:t>кл</w:t>
      </w:r>
      <w:proofErr w:type="spellEnd"/>
      <w:r w:rsidRPr="004D4716">
        <w:t xml:space="preserve">.)); юридичного («Основи відновного правосуддя» (10–11 </w:t>
      </w:r>
      <w:proofErr w:type="spellStart"/>
      <w:r w:rsidRPr="004D4716">
        <w:t>кл</w:t>
      </w:r>
      <w:proofErr w:type="spellEnd"/>
      <w:r w:rsidRPr="004D4716">
        <w:t xml:space="preserve">.); «Конституційне право України» (10–11 </w:t>
      </w:r>
      <w:proofErr w:type="spellStart"/>
      <w:r w:rsidRPr="004D4716">
        <w:lastRenderedPageBreak/>
        <w:t>кл</w:t>
      </w:r>
      <w:proofErr w:type="spellEnd"/>
      <w:r w:rsidRPr="004D4716">
        <w:t xml:space="preserve">.)), гуманітарного («Досліджуємо гуманітарне право» (10–11 </w:t>
      </w:r>
      <w:proofErr w:type="spellStart"/>
      <w:r w:rsidRPr="004D4716">
        <w:t>кл</w:t>
      </w:r>
      <w:proofErr w:type="spellEnd"/>
      <w:r w:rsidRPr="004D4716">
        <w:t xml:space="preserve">.)) та профорієнтаційного спрямування («Світ юридичної професії» (10 </w:t>
      </w:r>
      <w:proofErr w:type="spellStart"/>
      <w:r w:rsidRPr="004D4716">
        <w:t>кл</w:t>
      </w:r>
      <w:proofErr w:type="spellEnd"/>
      <w:r w:rsidRPr="004D4716">
        <w:t xml:space="preserve">.). </w:t>
      </w:r>
    </w:p>
    <w:p w:rsidR="004D4716" w:rsidRPr="004D4716" w:rsidRDefault="004D4716" w:rsidP="004D4716">
      <w:r w:rsidRPr="004D4716">
        <w:t xml:space="preserve">Правознавчі предмети та варіативні курси мають значний потенціал для національно-патріотичного виховання учнів, їхньої самоідентифікації, становлення активної життєвої позиції.  </w:t>
      </w:r>
    </w:p>
    <w:p w:rsidR="004D4716" w:rsidRPr="004D4716" w:rsidRDefault="004D4716" w:rsidP="004D4716">
      <w:r w:rsidRPr="004D4716">
        <w:t>В умовах російської агресії украй актуальним є вивчення курсу</w:t>
      </w:r>
      <w:r w:rsidRPr="004D4716">
        <w:rPr>
          <w:b/>
          <w:bCs/>
        </w:rPr>
        <w:t xml:space="preserve"> </w:t>
      </w:r>
      <w:r w:rsidRPr="004D4716">
        <w:t>за вибором "Досліджуючи гуманітарне право", який містить основні положення Міжнародного гуманітарного права. Курс  сприяє формуванню в учнів власного ставлення до норм МГП, отриманню ними знань про найбільш поширені способи захисту себе і своїх близьких в неординарних життєвих ситуаціях, пов'язаних з ризиком; розвитку вмінь учнів регулювати власну поведінку в повсякденному житті; вчить визначати межі порушень МГП, формувати вміння оцінювати ситуації насильства з гуманітарної точки зору;  попереджувати ескалацію насильства. Школярі мають розуміти причини появи біженців, складнощі їхнього життя тощо.</w:t>
      </w:r>
    </w:p>
    <w:p w:rsidR="004D4716" w:rsidRPr="004D4716" w:rsidRDefault="004D4716" w:rsidP="004D4716">
      <w:r w:rsidRPr="004D4716">
        <w:t xml:space="preserve">Для досягнення мети навчання учнів правознавства, виконання закладених у навчальних програмах завдань ефективними є інтерактивні методи як-от аналіз і розв’язання правових ситуацій, «мозковий штурм», робота в малих групах, ситуативне моделювання, дискусія тощо. Систематичне застосування вказаних методів в урочній та позаурочні діяльності учнів сприяє практичній реалізації </w:t>
      </w:r>
      <w:proofErr w:type="spellStart"/>
      <w:r w:rsidRPr="004D4716">
        <w:t>компетентнісного</w:t>
      </w:r>
      <w:proofErr w:type="spellEnd"/>
      <w:r w:rsidRPr="004D4716">
        <w:t xml:space="preserve"> та діяльнісного підходів у навчанні. </w:t>
      </w:r>
    </w:p>
    <w:p w:rsidR="004D4716" w:rsidRPr="004D4716" w:rsidRDefault="004D4716" w:rsidP="004D4716">
      <w:r w:rsidRPr="004D4716">
        <w:t>Основою знань є понятійний апарат учнів, тому на уроках правознавства вчитель має приділяти належну увагу його формуванню (через систему пізнавальних завдань, в тому числі й комплексного характеру, наприклад, складання юридичного словничка за статтями закону, виявлення в тексті й пояснення чільних правових понять, завдання на порівняння, побудову графічних організаторів тощо).</w:t>
      </w:r>
    </w:p>
    <w:p w:rsidR="004D4716" w:rsidRPr="004D4716" w:rsidRDefault="004D4716" w:rsidP="004D4716">
      <w:r w:rsidRPr="004D4716">
        <w:t xml:space="preserve">Міністерством освіти і науки України спільно з Координатором проектів ОБСЄ в Україні розроблено </w:t>
      </w:r>
      <w:r w:rsidRPr="004D4716">
        <w:rPr>
          <w:b/>
          <w:i/>
          <w:iCs/>
        </w:rPr>
        <w:t>Шкільний календар прав людини</w:t>
      </w:r>
      <w:r w:rsidRPr="004D4716">
        <w:rPr>
          <w:iCs/>
        </w:rPr>
        <w:t xml:space="preserve">, метою якого є поглиблення знань педагогів з прав людини та зміцнення їхніх умінь і навичок щодо викладання прав людини у шкільному та позашкільному середовищі; </w:t>
      </w:r>
      <w:r w:rsidRPr="004D4716">
        <w:t xml:space="preserve">надання методичних рекомендацій з правового виховання учнів 1-11 класів, формування їхніх знань з прав людини та підвищення їхньої правової культури. Навчальний посібник призначений для класних керівників, педагогів-організаторів, вихователів груп продовженого дня та ін. У посібнику викладено орієнтовну тематику правознавчих заходів у кожному місяці року для чотирьох вікових категорій – 1-4, 5-7, 8-9 та 10-11 класи. Календар буде розміщено на офіційному сайті Міністерства. </w:t>
      </w:r>
    </w:p>
    <w:p w:rsidR="004D4716" w:rsidRPr="004D4716" w:rsidRDefault="004D4716" w:rsidP="004D4716">
      <w:r w:rsidRPr="004D4716">
        <w:t xml:space="preserve">З огляду на обмежені часові рамки вивчення учнями інваріантних правознавчих предметів, слід залучати їх до позаурочних і позашкільних заходів із правової </w:t>
      </w:r>
      <w:r w:rsidRPr="004D4716">
        <w:lastRenderedPageBreak/>
        <w:t xml:space="preserve">тематики (конкурси, ігри, тематичні тижні), олімпіад з правознавства та турнірів юних правознавців. </w:t>
      </w:r>
    </w:p>
    <w:p w:rsidR="004D4716" w:rsidRPr="004D4716" w:rsidRDefault="004D4716" w:rsidP="004D4716">
      <w:r w:rsidRPr="004D4716">
        <w:t xml:space="preserve">Для ефективного навчання правознавства важливими є досконале володіння вчителем змістом правознавчих предметів і курсів, інноваційними підходами до організації навчання, арсеналом активних й інтерактивних методів навчання та стратегією застосування цих методів в навчальному процесі та позаурочній діяльності учнів. Не менш важливою є й самоосвіта вчителя правознавства. </w:t>
      </w:r>
    </w:p>
    <w:p w:rsidR="004D4716" w:rsidRPr="004D4716" w:rsidRDefault="004D4716" w:rsidP="004D4716">
      <w:r w:rsidRPr="004D4716">
        <w:t xml:space="preserve">Із метою кваліфікованого викладання правознавства в загальноосвітніх навчальних закладах бажано, щоб правознавчі предмети й курси викладалися в школі одним вчителем. </w:t>
      </w:r>
    </w:p>
    <w:p w:rsidR="004D4716" w:rsidRPr="004D4716" w:rsidRDefault="004D4716" w:rsidP="004D4716">
      <w:r w:rsidRPr="004D4716">
        <w:t xml:space="preserve">До проведення уроків з правознавства, активізації роботи з правової освіти учнів слід залучати депутатів місцевих рад, державних службовців місцевих органів виконавчої влади, суддів місцевих судів, представників обласних/районних управлінь юстиції. Їхні знання й досвід практичної роботи сприятимуть підвищенню мотивації й інтересу учнів до правознавства та посилюватимуть профорієнтаційний компонент у навчанні. </w:t>
      </w:r>
    </w:p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6"/>
    <w:rsid w:val="004D4716"/>
    <w:rsid w:val="009F2285"/>
    <w:rsid w:val="00A2478D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794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888-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921-19" TargetMode="External"/><Relationship Id="rId11" Type="http://schemas.openxmlformats.org/officeDocument/2006/relationships/hyperlink" Target="http://www.mon.gov.ua/" TargetMode="External"/><Relationship Id="rId5" Type="http://schemas.openxmlformats.org/officeDocument/2006/relationships/hyperlink" Target="http://zakon5.rada.gov.ua/laws/show/990-19" TargetMode="External"/><Relationship Id="rId10" Type="http://schemas.openxmlformats.org/officeDocument/2006/relationships/hyperlink" Target="http://zakon5.rada.gov.ua/laws/show/67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761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2243</Words>
  <Characters>12790</Characters>
  <Application>Microsoft Office Word</Application>
  <DocSecurity>0</DocSecurity>
  <Lines>106</Lines>
  <Paragraphs>30</Paragraphs>
  <ScaleCrop>false</ScaleCrop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Галина</cp:lastModifiedBy>
  <cp:revision>5</cp:revision>
  <dcterms:created xsi:type="dcterms:W3CDTF">2016-08-18T11:24:00Z</dcterms:created>
  <dcterms:modified xsi:type="dcterms:W3CDTF">2017-01-20T16:28:00Z</dcterms:modified>
</cp:coreProperties>
</file>